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207051" w:rsidRPr="00207051" w:rsidTr="0020705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207051" w:rsidRPr="0020705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72"/>
                  </w:tblGrid>
                  <w:tr w:rsidR="00207051" w:rsidRPr="00207051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Tájékoztató a vasúti közlekedés biztonságával összefüggő munkaköröket betöltő munkavállalókkal szemben támasztott egészségügyi követelményekről és az egészségügyi vizsgálat rendjéről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hu-HU"/>
                          </w:rPr>
                          <w:t>Ügyfélfogadási idő: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Hétfő: 13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hu-HU"/>
                          </w:rPr>
                          <w:t>00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- 16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hu-HU"/>
                          </w:rPr>
                          <w:t>00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Szerda: 9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hu-HU"/>
                          </w:rPr>
                          <w:t>00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- 16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hu-HU"/>
                          </w:rPr>
                          <w:t>00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   Péntek: 9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hu-HU"/>
                          </w:rPr>
                          <w:t>00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- 12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hu-HU"/>
                          </w:rPr>
                          <w:t xml:space="preserve">00     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Cím: 1066 Budapest, Teréz krt. 62., ügyfélváró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A vasútegészségüggyel kapcsolatos leveleket az alábbi e-mail címre várjuk: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br/>
                        </w:r>
                        <w:hyperlink r:id="rId5" w:history="1">
                          <w:r w:rsidRPr="00207051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vasuteu.kui@nkh.gov.hu</w:t>
                          </w:r>
                        </w:hyperlink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Előzetes alkalmassági vizsgálat (2009. október 1.)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2009. október 1-től hatályos a vasúti közlekedés biztonságával összefüggő munkaköröket betöltő munkavállalókkal szemben támasztott egészségügyi követelményekről és az egészségügyi vizsgálat rendjéről szóló 203/2009. (IX. 18.) Kormányrendelet (továbbiakban: Rendelet) 30. § (5) bekezdése szerint „ </w:t>
                        </w:r>
                        <w:proofErr w:type="gramStart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A</w:t>
                        </w:r>
                        <w:proofErr w:type="gramEnd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vasúti közlekedés biztonságával összefüggő - külön jogszabályban meghatározott - munkakört betöltő vasúti munkavállalók előzetes egészségügyi alkalmassági vizsgálatát a Nemzeti Közlekedési Hatóság Kiemelt Ügyek  Igazgatósága végzi."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A Rendelet részletes áttekintését mellőzve ismertetjük az előzetes alkalmassági vizsgálat kezdeményezésének és lebonyolításának folyamatát.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A munkáltató a Rendelet 1. mellékletében felsorolt munkakörökben foglalkoztatni kívánt munkavállaló nevére kitöltött beutalóval kezdeményezi az előzetes alkalmasság megállapítását. (A beutalót jelen tájékoztató 1. sz. melléklete tartalmazza)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Az alkalmasság megállapítása egyedi eljárás keretében történik, ezért azok dokumentációját külön-külön kell benyújtani a Nemzeti Közlekedési Hatóság Kiemelt Ügyek Igazgatóságára.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(1066 Budapest, Teréz krt. 62. levélcím: 1387 Budapest, 62 </w:t>
                        </w:r>
                        <w:proofErr w:type="spellStart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Pf</w:t>
                        </w:r>
                        <w:proofErr w:type="spellEnd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: 30.)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A beutalón kívül az iratoknak tartalmaznia kell a Rendelet 29.§ (4) bekezdésében foglaltakat: 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- a meghatározott, egyedi munkakörre vonatkozó munkaköri leírást,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- az 5. melléklet </w:t>
                        </w:r>
                        <w:proofErr w:type="gramStart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A</w:t>
                        </w:r>
                        <w:proofErr w:type="gramEnd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. pontja szerinti, a munkakör (munkahely) egészségkárosító kockázatait tartalmazó adatlapot,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lastRenderedPageBreak/>
                          <w:t>- mindazokat a munkaköri és munkahelyi adatokat, amelyek a véleményezéshez szükségesnek tart továbbá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- az illeték megfizetését (2200,- Ft.) igazoló illetékbélyeget a kérelemre felragasztva.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6" w:tgtFrame="_blank" w:tooltip="A kérelem ide kattintva tölthető le. " w:history="1"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0000FF"/>
                              <w:sz w:val="24"/>
                              <w:szCs w:val="24"/>
                              <w:lang w:eastAsia="hu-HU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19050" t="0" r="0" b="0"/>
                                <wp:docPr id="1" name="Kép 1" descr="doc">
                                  <a:hlinkClick xmlns:a="http://schemas.openxmlformats.org/drawingml/2006/main" r:id="rId6" tgtFrame="&quot;_blank&quot;" tooltip="&quot;A kérelem ide kattintva tölthető le. 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oc">
                                          <a:hlinkClick r:id="rId6" tgtFrame="&quot;_blank&quot;" tooltip="&quot;A kérelem ide kattintva tölthető le. 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07051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 xml:space="preserve"> A kérelem ide kattintva tölthető le. </w:t>
                          </w:r>
                        </w:hyperlink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A Nemzeti Közlekedési Hatóság (továbbiakban: NKH) az egészségi alkalmasság előzetes megállapítása során az eljárásba szakértőként a </w:t>
                        </w:r>
                        <w:proofErr w:type="spellStart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Vasútegészségügyi</w:t>
                        </w:r>
                        <w:proofErr w:type="spellEnd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Szolgáltató Non-profit Kiemelten Közhasznú Korlátolt Felelősségű Társaságot vonja be. (Rendelet 21.§)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A NKH az eljárás megindításáról végzést ad ki, melyben egyúttal kirendeli a szakértőt és tájékoztatja munkáltatót és a munkavállalót az előzetes vizsgálat helyszínéről és időpontjáról.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A munkavállaló a végzésben meghatározott helyszínen és időpontban a Rendelet 4. §</w:t>
                        </w:r>
                        <w:proofErr w:type="spellStart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-ban</w:t>
                        </w:r>
                        <w:proofErr w:type="spellEnd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meghatározottak szerint: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-     keresőképes állapotban, kipihenten, alkohol és a vizsgálat eredményét befolyásoló gyógyszerek, kábítószer hatása alól mentes állapotban megjelenni,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-     személyazonosságát kérésre igazolni,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-     a munkáltató által kitöltött beutalóval jelentkezni,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-     egészségi állapotáról a valóságnak megfelelő adatokat közölni,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-     pszichológiai vizsgálatra az 5. melléklet D. pontja szerinti beutalóval jelentkezni.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       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Amennyiben a megjelölt vizsgálati időpont és hely a vasúti munkavállalónak vagy a szakértőnek akadályoztatása miatt nem megfelelő, új időpontot és helyet egymás között közvetlenül egyeztethetnek.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A vizsgálat eredményéről a </w:t>
                        </w:r>
                        <w:proofErr w:type="spellStart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Vasútegészségügyi</w:t>
                        </w:r>
                        <w:proofErr w:type="spellEnd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Szolgáltató Non-profit Kiemelten Közhasznú Korlátolt  Felelősségű Társaság egészségügyi alkalmassági tanúsítványt állít ki (Rendelet 24.§ (1) bekezdés), melyet a NKH részére megküld. A NKH a kiállított tanúsítvány alapján az eljárás eredményét határozatban közli a vizsgálatot kezdeményező munkáltatóval és a munkavállalóval.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8" w:tgtFrame="_blank" w:tooltip="1. számú melléklet ide kattintva tölthető le " w:history="1"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0000FF"/>
                              <w:sz w:val="24"/>
                              <w:szCs w:val="24"/>
                              <w:lang w:eastAsia="hu-HU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19050" t="0" r="0" b="0"/>
                                <wp:docPr id="2" name="Kép 2" descr="doc">
                                  <a:hlinkClick xmlns:a="http://schemas.openxmlformats.org/drawingml/2006/main" r:id="rId8" tgtFrame="&quot;_blank&quot;" tooltip="&quot;1. számú melléklet ide kattintva tölthető le 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oc">
                                          <a:hlinkClick r:id="rId8" tgtFrame="&quot;_blank&quot;" tooltip="&quot;1. számú melléklet ide kattintva tölthető le 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07051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 xml:space="preserve"> 1. számú melléklet ide kattintva tölthető le </w:t>
                          </w:r>
                        </w:hyperlink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Időszakos, soron kívüli és záró egészségi alkalmassági vizsgálat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A Kormány a vasúti közlekedés biztonságával összefüggő munkakört betöltő vasúti 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lastRenderedPageBreak/>
                          <w:t xml:space="preserve">munkavállalók időszakos, soron kívüli és záró egészségi alkalmassági vizsgálata tekintetében a </w:t>
                        </w:r>
                        <w:proofErr w:type="spellStart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Vasútegészségügyi</w:t>
                        </w:r>
                        <w:proofErr w:type="spellEnd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Szolgáltató Non-profit Kiemelten Közhasznú Korlátolt Felelősségű Társaságot (továbbiakban: </w:t>
                        </w:r>
                        <w:proofErr w:type="spellStart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Vasútegészsegügyi</w:t>
                        </w:r>
                        <w:proofErr w:type="spellEnd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Kft.) jelöli ki. (Rendelet 30.§ (1) bekezdés)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                                                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A munkáltató a Rendelet 1. mellékletében felsorolt munkakörökben foglalkoztatni kívánt munkavállaló nevére kitöltött beutalóval kezdeményezi az időszakos, soron kívüli és záró egészségi alkalmassági vizsgálat megállapítását. (A beutalót a tájékoztató 1. sz. melléklete tartalmazza)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A beutalón kívül az iratoknak tartalmaznia kell a Rendelet 29.§ (4) bekezdésében foglaltakat valamint a </w:t>
                        </w:r>
                        <w:proofErr w:type="spellStart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Vasútegészsegügyi</w:t>
                        </w:r>
                        <w:proofErr w:type="spellEnd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Kft. által meghatározott díj megfizetését igazoló befizetett postai utalványt.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Az alkalmasság megállapítása egyedi eljárás keretében történik, ezért azok dokumentációját  külön-külön kell benyújtani a </w:t>
                        </w:r>
                        <w:proofErr w:type="spellStart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Vasútegészségügyi</w:t>
                        </w:r>
                        <w:proofErr w:type="spellEnd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Kft. vizsgálatot végző központjainak.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A vizsgálat eredményéről a </w:t>
                        </w:r>
                        <w:proofErr w:type="spellStart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Vasútegészségügyi</w:t>
                        </w:r>
                        <w:proofErr w:type="spellEnd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Kft. (a Rendelet 5. melléklet C. pontja szerinti) egészségügyi alkalmassági tanúsítványt (határozatot) állít ki (Rendelet 24.§ (3) bekezdés), melyet a NKH részére megküld.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Fellebbezés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Amennyiben az előzetes, időszakos, soron kívüli valamint záró vizsgálat alapján hozott határozattal a munkáltató vagy a munkavállaló nem ért egyet, a határozat ellen fellebbezéssel élhet és kérheti az alkalmasság felülvizsgálatát a NKH </w:t>
                        </w:r>
                        <w:proofErr w:type="spellStart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-tól</w:t>
                        </w:r>
                        <w:proofErr w:type="spellEnd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.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Előzetes orvosi alkalmasság felülvizsgálatára a fellebbezést a NKH Másodfokú Hatósági Főosztálya, az időszakos, soron kívüli valamint záró vizsgálat felülvizsgálatára a fellebbezést a NKH KÜI bírálja el.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(1066 Budapest, Teréz krt. 62. levélcím: 1387 Budapest, 62 </w:t>
                        </w:r>
                        <w:proofErr w:type="spellStart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Pf</w:t>
                        </w:r>
                        <w:proofErr w:type="spellEnd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: 30.)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lastRenderedPageBreak/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A felülvizsgálati eljárási költsége a kérelmezőt terheli (általános fellebbezési illeték 5000.-Ft).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9" w:tgtFrame="_blank" w:tooltip="A fellebbezés előterjesztése ide kattintva &#10;tölthető le. " w:history="1"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0000FF"/>
                              <w:sz w:val="24"/>
                              <w:szCs w:val="24"/>
                              <w:lang w:eastAsia="hu-HU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19050" t="0" r="0" b="0"/>
                                <wp:docPr id="3" name="Kép 3" descr="doc">
                                  <a:hlinkClick xmlns:a="http://schemas.openxmlformats.org/drawingml/2006/main" r:id="rId9" tgtFrame="&quot;_blank&quot;" tooltip="&quot;A fellebbezés előterjesztése ide kattintva &#10;tölthető le. 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doc">
                                          <a:hlinkClick r:id="rId9" tgtFrame="&quot;_blank&quot;" tooltip="&quot;A fellebbezés előterjesztése ide kattintva &#10;tölthető le. 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07051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 xml:space="preserve"> A fellebbezés előterjesztése ide kattintva tölthető le. </w:t>
                          </w:r>
                        </w:hyperlink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Egészségügyi dokumentáció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A egészségi alkalmassági vizsgálatot és annak megállapításait a tanúsítást végző foglalkozás-egészségügyi orvos (a Rendelet 5. melléklet b. pontja </w:t>
                        </w:r>
                        <w:proofErr w:type="gramStart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szerinti )</w:t>
                        </w:r>
                        <w:proofErr w:type="gramEnd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„Alkalmassági tanúsítvány vasúti szolgálatra" elnevezésű nyomtatványon köteles rögzíteni.(Rendelet 28.§ (1)  bekezdés)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Az egészségi alkalmassági vizsgálatot végző szervezet havonta köteles az elvégzett vizsgálatokról és azok eredményéről a NKH felé adatot közölni, melyet CD-re kiírva az alábbi táblázatos formában az NKH KÜI címére kell megküldeni.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(1066 Budapest, Teréz krt. 62. levélcím: 1387 Budapest, 62 </w:t>
                        </w:r>
                        <w:proofErr w:type="spellStart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Pf</w:t>
                        </w:r>
                        <w:proofErr w:type="spellEnd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: 30.)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Az adatszolgáltatásnak tartalmaznia kell: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hu-HU"/>
                          </w:rPr>
                          <w:t>a)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a  természetes személyazonosító adatait,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hu-HU"/>
                          </w:rPr>
                          <w:t>b)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a vizsgálat alapján kialakított tanúsítványt, az esetleges korlátozásokkal,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hu-HU"/>
                          </w:rPr>
                          <w:t>c)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a tanúsítvány alapján betölthető munkakört,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hu-HU"/>
                          </w:rPr>
                          <w:t>d)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az alkalmasság időbeli hatályát,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hu-HU"/>
                          </w:rPr>
                          <w:t>e)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a vizsgált személy munkáltatójának adatait.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(Rendelet 28.§ (4) bekezdés)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Javasolt az alábbi elrendezés: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640"/>
                          <w:gridCol w:w="1664"/>
                          <w:gridCol w:w="1066"/>
                          <w:gridCol w:w="1286"/>
                          <w:gridCol w:w="1000"/>
                          <w:gridCol w:w="1215"/>
                          <w:gridCol w:w="1095"/>
                        </w:tblGrid>
                        <w:tr w:rsidR="00207051" w:rsidRPr="0020705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1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Név, születési név</w:t>
                              </w: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Születési idő, hely</w:t>
                              </w: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br/>
                                <w:t xml:space="preserve">Anyja neve </w:t>
                              </w: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16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Tanúsítvány</w:t>
                              </w: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 xml:space="preserve">(esteleges </w:t>
                              </w: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lastRenderedPageBreak/>
                                <w:t>korlátozások)</w:t>
                              </w: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lastRenderedPageBreak/>
                                <w:t>Betölthető munkakör</w:t>
                              </w: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 xml:space="preserve">Alkalmasság érvényessége </w:t>
                              </w:r>
                            </w:p>
                          </w:tc>
                          <w:tc>
                            <w:tcPr>
                              <w:tcW w:w="16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A munkáltató</w:t>
                              </w: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lastRenderedPageBreak/>
                                <w:t>adatai</w:t>
                              </w: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07051" w:rsidRPr="0020705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1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16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16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  </w:t>
                              </w:r>
                            </w:p>
                          </w:tc>
                        </w:tr>
                      </w:tbl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A </w:t>
                        </w:r>
                        <w:proofErr w:type="spellStart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Vasútegészségügyi</w:t>
                        </w:r>
                        <w:proofErr w:type="spellEnd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Kft. továbbá köteles a nyilvántartásában foglalkoztatott orvosokról az alábbi táblázatos formában adatot közölni (a fent megadott címre).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tbl>
                        <w:tblPr>
                          <w:tblW w:w="9645" w:type="dxa"/>
                          <w:jc w:val="center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607"/>
                          <w:gridCol w:w="1631"/>
                          <w:gridCol w:w="1045"/>
                          <w:gridCol w:w="1016"/>
                          <w:gridCol w:w="640"/>
                          <w:gridCol w:w="1484"/>
                          <w:gridCol w:w="1543"/>
                        </w:tblGrid>
                        <w:tr w:rsidR="00207051" w:rsidRPr="0020705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Név, születési név</w:t>
                              </w: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Születési idő, hely</w:t>
                              </w: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  </w:t>
                              </w:r>
                            </w:p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 xml:space="preserve">Anyja neve </w:t>
                              </w: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Szakvizsga száma, kelte</w:t>
                              </w: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Orvosi pecsét száma</w:t>
                              </w: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Nyilvántartásba vétel dátuma, száma</w:t>
                              </w: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Nyilvántartásból való törlés oka, időpontja</w:t>
                              </w: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07051" w:rsidRPr="0020705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7051" w:rsidRPr="00207051" w:rsidRDefault="00207051" w:rsidP="0020705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070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  </w:t>
                              </w:r>
                            </w:p>
                          </w:tc>
                        </w:tr>
                      </w:tbl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Megjegyzés: A végzettséget igazoló </w:t>
                        </w:r>
                        <w:proofErr w:type="gramStart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dokumentum(</w:t>
                        </w:r>
                        <w:proofErr w:type="gramEnd"/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ok) másolatát elfogadjuk azzal a feltétellel, hogy a beadandó iratok elválaszthatatlanul összefogva kerülnek átadásra, és a jogosult vezető írásban nyilatkozik arról, hogy a másolatok az eredetivel megegyezők. 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br/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br/>
                        </w:r>
                        <w:hyperlink r:id="rId10" w:tgtFrame="_blank" w:tooltip="Az előzetes orvosi alkalmassági vizsgálatokat &#10;végző vagy véleményező orvosok jegyzéke ide kattintva tölthető le." w:history="1"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0000FF"/>
                              <w:sz w:val="24"/>
                              <w:szCs w:val="24"/>
                              <w:lang w:eastAsia="hu-HU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19050" t="0" r="0" b="0"/>
                                <wp:docPr id="4" name="Kép 4" descr="xls">
                                  <a:hlinkClick xmlns:a="http://schemas.openxmlformats.org/drawingml/2006/main" r:id="rId10" tgtFrame="&quot;_blank&quot;" tooltip="&quot;Az előzetes orvosi alkalmassági vizsgálatokat &#10;végző vagy véleményező orvosok jegyzéke ide kattintva tölthető le.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xls">
                                          <a:hlinkClick r:id="rId10" tgtFrame="&quot;_blank&quot;" tooltip="&quot;Az előzetes orvosi alkalmassági vizsgálatokat &#10;végző vagy véleményező orvosok jegyzéke ide kattintva tölthető le.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07051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 Az előzetes orvosi alkalmassági vizsgálatokat végző vagy véleményező orvosok jegyzéke ide kattintva tölthető le.</w:t>
                          </w:r>
                        </w:hyperlink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12" w:tgtFrame="_blank" w:tooltip="A pszichológusok névsora ide kattintva tölthető &#10;le." w:history="1"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0000FF"/>
                              <w:sz w:val="24"/>
                              <w:szCs w:val="24"/>
                              <w:lang w:eastAsia="hu-HU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19050" t="0" r="0" b="0"/>
                                <wp:docPr id="5" name="Kép 5" descr="doc">
                                  <a:hlinkClick xmlns:a="http://schemas.openxmlformats.org/drawingml/2006/main" r:id="rId12" tgtFrame="&quot;_blank&quot;" tooltip="&quot;A pszichológusok névsora ide kattintva tölthető &#10;le.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doc">
                                          <a:hlinkClick r:id="rId12" tgtFrame="&quot;_blank&quot;" tooltip="&quot;A pszichológusok névsora ide kattintva tölthető &#10;le.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07051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 A pszichológusok névsora ide kattintva tölthető le.</w:t>
                          </w:r>
                        </w:hyperlink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13" w:tgtFrame="_blank" w:tooltip="Az előzetes orvosi vizsgálat tanúsítói díjainak &#10;jegyzéke ide kattintva tölthető le." w:history="1"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0000FF"/>
                              <w:sz w:val="24"/>
                              <w:szCs w:val="24"/>
                              <w:lang w:eastAsia="hu-HU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19050" t="0" r="0" b="0"/>
                                <wp:docPr id="6" name="Kép 6" descr="pdf">
                                  <a:hlinkClick xmlns:a="http://schemas.openxmlformats.org/drawingml/2006/main" r:id="rId13" tgtFrame="&quot;_blank&quot;" tooltip="&quot;Az előzetes orvosi vizsgálat tanúsítói díjainak &#10;jegyzéke ide kattintva tölthető le.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df">
                                          <a:hlinkClick r:id="rId13" tgtFrame="&quot;_blank&quot;" tooltip="&quot;Az előzetes orvosi vizsgálat tanúsítói díjainak &#10;jegyzéke ide kattintva tölthető le.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07051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 Az előzetes orvosi vizsgálat tanúsítói díjainak jegyzéke ide kattintva tölthető le.</w:t>
                          </w:r>
                        </w:hyperlink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Tájékoztató a Vasútbiztonsági Tanúsítvány Kiegészítő Tanúsítvány Vasútbiztonsági Engedély Eljárásához:</w:t>
                        </w:r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 </w:t>
                        </w:r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lang w:eastAsia="hu-HU"/>
                          </w:rPr>
                          <w:t>PREAMBULUM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 </w:t>
                        </w:r>
                        <w:r w:rsidRPr="00207051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hu-HU"/>
                          </w:rPr>
                          <w:t>Jogszabályi alap és kapcsolódó jogszabályok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lastRenderedPageBreak/>
                          <w:t>1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.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>          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2005. évi CLXXXIII. törvény a vasúti közlekedésről;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5"/>
                            <w:szCs w:val="15"/>
                            <w:lang w:eastAsia="hu-HU"/>
                          </w:rPr>
                          <w:t>2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.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       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1992. évi XXII törvény a Munka Törvénykönyvéről;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5"/>
                            <w:szCs w:val="15"/>
                            <w:lang w:eastAsia="hu-HU"/>
                          </w:rPr>
                          <w:t>3.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>       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2005. évi CLXXXIV. törvény a légi-, a vasúti- és a </w:t>
                        </w:r>
                        <w:proofErr w:type="spellStart"/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víziközlekedési</w:t>
                        </w:r>
                        <w:proofErr w:type="spellEnd"/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 balesetek és egyéb közlekedési események szakmai vizsgálatáról;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5"/>
                            <w:szCs w:val="15"/>
                            <w:lang w:eastAsia="hu-HU"/>
                          </w:rPr>
                          <w:t>4.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        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51/1994. (IV. 8.) Korm. rendelet a vasúti hatósági feladat- és hatásköréről;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5"/>
                            <w:szCs w:val="15"/>
                            <w:lang w:eastAsia="hu-HU"/>
                          </w:rPr>
                          <w:t>5.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        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2/2002. (I. 11.) Korm. rendelet a veszélyes </w:t>
                        </w:r>
                        <w:proofErr w:type="gramStart"/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árú</w:t>
                        </w:r>
                        <w:proofErr w:type="gramEnd"/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 szállítási biztonsági tanácsadó kinevezéséről és képesítéséről;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5"/>
                            <w:szCs w:val="15"/>
                            <w:lang w:eastAsia="hu-HU"/>
                          </w:rPr>
                          <w:t>6.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        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40/2006. (VI. 26.) GKM rendelet a vasútbiztonsági tanúsítványra, a biztonsági engedélyre, a biztonságirányítási rendszerekre, a biztonsági jelentésre, valamint az egyes hatósági engedélyezési eljárásokra vonatkozó részletes szabályokról; (továbbiakban R)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5"/>
                            <w:szCs w:val="15"/>
                            <w:lang w:eastAsia="hu-HU"/>
                          </w:rPr>
                          <w:t>7.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        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45/2006. (VII. 11.) GKM rendelet a vasúti társaságok működésének engedélyezéséről;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5"/>
                            <w:szCs w:val="15"/>
                            <w:lang w:eastAsia="hu-HU"/>
                          </w:rPr>
                          <w:t>8.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        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72/2006. (IX. 29.) GKM rendelet a vasúti hatósági eljárási díjakról;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5"/>
                            <w:szCs w:val="15"/>
                            <w:lang w:eastAsia="hu-HU"/>
                          </w:rPr>
                          <w:t>9.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        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28/2003. (V. 8.) GKM rendelet a vasúti járművek </w:t>
                        </w:r>
                        <w:proofErr w:type="spellStart"/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üzembehelyezésének</w:t>
                        </w:r>
                        <w:proofErr w:type="spellEnd"/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 engedélyezéséről és időszakos vizsgálatáról;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5"/>
                            <w:szCs w:val="15"/>
                            <w:lang w:eastAsia="hu-HU"/>
                          </w:rPr>
                          <w:t>10.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     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36/2006. (VI. 21.) GKM rendelet a hagyományos vasúti rendszerek kölcsönös átjárhatóságáról;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5"/>
                            <w:szCs w:val="15"/>
                            <w:lang w:eastAsia="hu-HU"/>
                          </w:rPr>
                          <w:t>11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.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     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32/2003. (V. 20.) GKM rendelet a vasúti járművezetők képzéséről, hatósági vizsgáztatásáról és szakképesítéséről;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5"/>
                            <w:szCs w:val="15"/>
                            <w:lang w:eastAsia="hu-HU"/>
                          </w:rPr>
                          <w:t>12.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     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color w:val="858585"/>
                            <w:sz w:val="15"/>
                            <w:szCs w:val="15"/>
                            <w:lang w:eastAsia="hu-HU"/>
                          </w:rPr>
                          <w:t>203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/2009. (IX. 18.) Korm. rendelet a vasúti közlekedés biztonságával összefüggő munkaköröket betöltő munkavállalókkal szemben támasztott egészségügyi követelményekről és az egészségügyi vizsgálat rendjéről;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5"/>
                            <w:szCs w:val="15"/>
                            <w:lang w:eastAsia="hu-HU"/>
                          </w:rPr>
                          <w:t>13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.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     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15/1987. (XII. 27.) KM-ÉVM együttes rendelet a vasúti építmények engedélyezéséről és üzemeltetésük ellenőrzéséről;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5"/>
                            <w:szCs w:val="15"/>
                            <w:lang w:eastAsia="hu-HU"/>
                          </w:rPr>
                          <w:t>14.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     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52/2004. (IV. 22.) GKM rendelet az országos közforgalmú vasúthálózat elemeiről;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5"/>
                            <w:szCs w:val="15"/>
                            <w:lang w:eastAsia="hu-HU"/>
                          </w:rPr>
                          <w:t>15.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     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17/1993. (VII. 1.) KHVM rendelet az egyes veszélyes tevékenységek biztonsági követelményeiről szóló szabályzatok kiadásáról;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5"/>
                            <w:szCs w:val="15"/>
                            <w:lang w:eastAsia="hu-HU"/>
                          </w:rPr>
                          <w:t>16.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     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47/2005. (VI. 29.) GKM rendelet a Nemzetközi Vasúti Árufuvarozási Egyezményre vonatkozó Egységes Szabályok (CIM) mellékleteinek kihirdetéséről szóló 4/1987. (V. 13.) KM rendelet módosításáról;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5"/>
                            <w:szCs w:val="15"/>
                            <w:lang w:eastAsia="hu-HU"/>
                          </w:rPr>
                          <w:t>17.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     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103/2003. (XII. 27.) GKM rendelet a hagyományos vasúti rendszerek kölcsönös átjárhatóságáról;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5"/>
                            <w:szCs w:val="15"/>
                            <w:lang w:eastAsia="hu-HU"/>
                          </w:rPr>
                          <w:t>18.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     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módosított 263/2006. (XII. 20.) Korm. rendelet a Nemzeti Közlekedési Hatóságról;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5"/>
                            <w:szCs w:val="15"/>
                            <w:lang w:eastAsia="hu-HU"/>
                          </w:rPr>
                          <w:t>19.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     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A Bizottság 653/2007/EK Rendelete (2007. június 13.) a 2004/49/EK európai parlamenti és tanácsi irányelv 10. cikkének megfelelő biztonsági tanúsítványok és kérelemmel benyújtott dokumentáció egységes európai formátumának használatáról és a 2001/14/EK európai parlamenti és tanácsi irányelv értelmében kibocsátott biztonsági tanúsítványok érvényességéről;</w:t>
                        </w:r>
                        <w:r w:rsidRPr="00207051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hu-HU"/>
                          </w:rPr>
                          <w:t> 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color w:val="858585"/>
                            <w:sz w:val="17"/>
                            <w:lang w:eastAsia="hu-HU"/>
                          </w:rPr>
                          <w:t>VASÚTBIZTONÁGI TANÚSÍTVÁNY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 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color w:val="858585"/>
                            <w:sz w:val="17"/>
                            <w:lang w:eastAsia="hu-HU"/>
                          </w:rPr>
                          <w:t xml:space="preserve">I.              </w:t>
                        </w:r>
                        <w:proofErr w:type="gramStart"/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color w:val="858585"/>
                            <w:sz w:val="17"/>
                            <w:lang w:eastAsia="hu-HU"/>
                          </w:rPr>
                          <w:t>A</w:t>
                        </w:r>
                        <w:proofErr w:type="gramEnd"/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color w:val="858585"/>
                            <w:sz w:val="17"/>
                            <w:lang w:eastAsia="hu-HU"/>
                          </w:rPr>
                          <w:t xml:space="preserve"> vasútbiztonsági tanúsítvány iránti kérelmet kell benyújtani: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 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Annak</w:t>
                        </w:r>
                        <w:r w:rsidRPr="00207051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hu-HU"/>
                          </w:rPr>
                          <w:t> 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 Roman" w:eastAsia="Times New Roman" w:hAnsi="Times New  Roman" w:cs="Times New Roman"/>
                            <w:color w:val="000000"/>
                            <w:sz w:val="17"/>
                            <w:szCs w:val="17"/>
                            <w:lang w:eastAsia="hu-HU"/>
                          </w:rPr>
                          <w:lastRenderedPageBreak/>
                          <w:t> 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a jogi személynek és jogi személységgel nem rendelkező gazdasági társaságnak (</w:t>
                        </w:r>
                        <w:proofErr w:type="spellStart"/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Vtv</w:t>
                        </w:r>
                        <w:proofErr w:type="spellEnd"/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. 2. § (1) bekezdés 3. pont, továbbiakban vasúti társaság), amely a </w:t>
                        </w:r>
                        <w:proofErr w:type="spellStart"/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Vtv</w:t>
                        </w:r>
                        <w:proofErr w:type="spellEnd"/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. 2. § (2) bekezdésben felsorolt bármelyik tevékenységet, szolgáltatást végzi és ezzel vasúti pályahálózatot használja vagy használni kívánja,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valamint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a </w:t>
                        </w:r>
                        <w:proofErr w:type="spellStart"/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Vtv</w:t>
                        </w:r>
                        <w:proofErr w:type="spellEnd"/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. 18. § (1) bekezdés hatálya alá tartozó saját célú vasúti tevékenységet végző szervezetnek, amely a saját célú pályahálózatot használja vagy használni kívánja és azon a gazdasági tevékenységével összefüggő vasúti személy- vagy áruszállítást végez.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Így kizárólag vasútbiztonsági tanúsítvány birtokában végezhető vállalkozói és/vagy saját célú vasúti tevékenység az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országos,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térségi,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helyi,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elővárosi,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saját célú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vasúti pályahálózaton. 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 </w:t>
                        </w:r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lang w:eastAsia="hu-HU"/>
                          </w:rPr>
                          <w:t xml:space="preserve">II.            </w:t>
                        </w:r>
                        <w:proofErr w:type="gramStart"/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lang w:eastAsia="hu-HU"/>
                          </w:rPr>
                          <w:t>A</w:t>
                        </w:r>
                        <w:proofErr w:type="gramEnd"/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lang w:eastAsia="hu-HU"/>
                          </w:rPr>
                          <w:t xml:space="preserve"> vasútbiztonsági tanúsítvány megadásának előfeltétele: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A hálózat használóra vonatkozó feltételek: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Magyarországi székhellyel rendelkező vasúti társaság esetén:</w:t>
                        </w:r>
                        <w:r w:rsidRPr="00207051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hu-HU"/>
                          </w:rPr>
                          <w:t>= érvényes működési engedély;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EGT államokon kívüli székhellyel rendelkező vasúti társaság esetén:</w:t>
                        </w:r>
                        <w:r w:rsidRPr="00207051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hu-HU"/>
                          </w:rPr>
                          <w:t>= érvényes működési engedély, amennyiben Magyarországon nyújtja be az első, EGT területre szóló engedélykérelmet. 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color w:val="858585"/>
                            <w:sz w:val="17"/>
                            <w:lang w:eastAsia="hu-HU"/>
                          </w:rPr>
                          <w:t>KIEGÉSZÍTŐ TANÚSÍTVÁNY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 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color w:val="858585"/>
                            <w:sz w:val="17"/>
                            <w:lang w:eastAsia="hu-HU"/>
                          </w:rPr>
                          <w:t xml:space="preserve">I.             </w:t>
                        </w:r>
                        <w:proofErr w:type="gramStart"/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color w:val="858585"/>
                            <w:sz w:val="17"/>
                            <w:lang w:eastAsia="hu-HU"/>
                          </w:rPr>
                          <w:t>A</w:t>
                        </w:r>
                        <w:proofErr w:type="gramEnd"/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color w:val="858585"/>
                            <w:sz w:val="17"/>
                            <w:lang w:eastAsia="hu-HU"/>
                          </w:rPr>
                          <w:t xml:space="preserve"> kiegészítő tanúsítvány iránti kérelmet kell benyújtani: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annak a vasúti társaságnak, amely vasútbiztonsági tanúsítvánnyal </w:t>
                        </w:r>
                        <w:proofErr w:type="gramStart"/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rendelkezik</w:t>
                        </w:r>
                        <w:proofErr w:type="gramEnd"/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 és további pályahálózatot kíván használni. 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color w:val="858585"/>
                            <w:sz w:val="17"/>
                            <w:lang w:eastAsia="hu-HU"/>
                          </w:rPr>
                          <w:t xml:space="preserve">II.            </w:t>
                        </w:r>
                        <w:proofErr w:type="gramStart"/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color w:val="858585"/>
                            <w:sz w:val="17"/>
                            <w:lang w:eastAsia="hu-HU"/>
                          </w:rPr>
                          <w:t>A</w:t>
                        </w:r>
                        <w:proofErr w:type="gramEnd"/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color w:val="858585"/>
                            <w:sz w:val="17"/>
                            <w:lang w:eastAsia="hu-HU"/>
                          </w:rPr>
                          <w:t xml:space="preserve"> kiegészítő tanúsítvány megadásának előfeltétele hálózat használóra vonatkozólag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: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Hálózat használóra vonatkozó feltételek: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 </w:t>
                        </w:r>
                        <w:r w:rsidRPr="00207051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hu-HU"/>
                          </w:rPr>
                          <w:t>– Magyarországi székhellyel rendelkező vasúti társaság esetén:= érvényes működési engedély;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= biztonsági tanúsítvány;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 </w:t>
                        </w:r>
                        <w:r w:rsidRPr="00207051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hu-HU"/>
                          </w:rPr>
                          <w:t xml:space="preserve">– Európai Gazdasági Térség (EGT) valamelyik tagállamában székhellyel rendelkező vasúti társaság esetén az </w:t>
                        </w:r>
                        <w:proofErr w:type="spellStart"/>
                        <w:r w:rsidRPr="00207051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hu-HU"/>
                          </w:rPr>
                          <w:t>EGT-tagállam</w:t>
                        </w:r>
                        <w:proofErr w:type="spellEnd"/>
                        <w:r w:rsidRPr="00207051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hu-HU"/>
                          </w:rPr>
                          <w:t xml:space="preserve"> által kiadott: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= érvényes működési engedély;= biztonsági tanúsítványhiteles fordítása; 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color w:val="858585"/>
                            <w:sz w:val="17"/>
                            <w:lang w:eastAsia="hu-HU"/>
                          </w:rPr>
                          <w:t>VASÚTBIZTONÁGI ENGEDÉLY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 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color w:val="858585"/>
                            <w:sz w:val="17"/>
                            <w:lang w:eastAsia="hu-HU"/>
                          </w:rPr>
                          <w:t xml:space="preserve">I.             </w:t>
                        </w:r>
                        <w:proofErr w:type="gramStart"/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color w:val="858585"/>
                            <w:sz w:val="17"/>
                            <w:lang w:eastAsia="hu-HU"/>
                          </w:rPr>
                          <w:t>A</w:t>
                        </w:r>
                        <w:proofErr w:type="gramEnd"/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color w:val="858585"/>
                            <w:sz w:val="17"/>
                            <w:lang w:eastAsia="hu-HU"/>
                          </w:rPr>
                          <w:t xml:space="preserve"> vasútbiztonsági engedély iránti kérelmet kell benyújtani: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annak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- </w:t>
                        </w:r>
                        <w:r w:rsidRPr="00207051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hu-HU"/>
                          </w:rPr>
                          <w:t> 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a jogi személynek és jogi személyiséggel nem rendelkező gazdasági társaságnak (</w:t>
                        </w:r>
                        <w:proofErr w:type="spellStart"/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Vtv</w:t>
                        </w:r>
                        <w:proofErr w:type="spellEnd"/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. 2.§ (1) bekezdés 3. pont), amely működési engedélye alapján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lastRenderedPageBreak/>
                          <w:t> 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 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országos,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 Roman" w:eastAsia="Times New Roman" w:hAnsi="Times New  Roman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> 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térségi,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 elővárosi,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 Roman" w:eastAsia="Times New Roman" w:hAnsi="Times New  Roman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> 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helyi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vasúti pályahálózatot működtet. 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hu-HU"/>
                          </w:rPr>
                          <w:t>Megjegyzés: a saját célú vasúti pályahálózatot működtetőnek, ha rendelkezik vasúthatósági használatbavételi engedéllyel, akkor nem kell vasútbiztonsági engedély iránti kérelmet benyújtani, de kérelmet kell benyújtania, ha vasútüzem vezetővel rendelkezik (</w:t>
                        </w:r>
                        <w:proofErr w:type="spellStart"/>
                        <w:r w:rsidRPr="0020705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hu-HU"/>
                          </w:rPr>
                          <w:t>OVSz</w:t>
                        </w:r>
                        <w:proofErr w:type="spellEnd"/>
                        <w:r w:rsidRPr="0020705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hu-HU"/>
                          </w:rPr>
                          <w:t xml:space="preserve"> 4.1.7. hetedik bekezdés). Az utóbbi esetben vasútbiztonsági tanúsítvány iránti kérelmet kell benyújtani. (Tájékoztató I. fejezet</w:t>
                        </w:r>
                        <w:proofErr w:type="gramStart"/>
                        <w:r w:rsidRPr="0020705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hu-HU"/>
                          </w:rPr>
                          <w:t>,I.</w:t>
                        </w:r>
                        <w:proofErr w:type="gramEnd"/>
                        <w:r w:rsidRPr="0020705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hu-HU"/>
                          </w:rPr>
                          <w:t xml:space="preserve"> pont, 2. bekezdés)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color w:val="858585"/>
                            <w:sz w:val="17"/>
                            <w:lang w:eastAsia="hu-HU"/>
                          </w:rPr>
                          <w:t xml:space="preserve">II.            </w:t>
                        </w:r>
                        <w:proofErr w:type="gramStart"/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color w:val="858585"/>
                            <w:sz w:val="17"/>
                            <w:lang w:eastAsia="hu-HU"/>
                          </w:rPr>
                          <w:t>A</w:t>
                        </w:r>
                        <w:proofErr w:type="gramEnd"/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color w:val="858585"/>
                            <w:sz w:val="17"/>
                            <w:lang w:eastAsia="hu-HU"/>
                          </w:rPr>
                          <w:t xml:space="preserve"> vasútbiztonsági engedély megadásának előfeltétele: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 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Országos vasúti pályahálózat működtetőre vonatkozó feltételek: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 érvényes országos működési engedély;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 érvényes vasúti pálya használatbavételi engedély 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Térségi vasúti pályahálózat működtetőre vonatkozó feltételek: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érvényes térségi működési engedély;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érvényes vasúti pálya használatbavételi engedély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Elővárosi vasúti pályahálózat működtetőre vonatkozó feltételek: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 érvényes elővárosi működési engedély;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érvényes vasúti pálya használatbavételi engedély 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Helyi vasúti pályahálózatot üzemeltetőre vonatkozó feltételek: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érvényes helyi működési engedély;</w:t>
                        </w:r>
                      </w:p>
                      <w:p w:rsidR="00207051" w:rsidRPr="00207051" w:rsidRDefault="00207051" w:rsidP="00207051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érvényes vasúti pálya használatbavételi engedély </w:t>
                        </w:r>
                        <w:r w:rsidRPr="00207051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hu-HU"/>
                          </w:rPr>
                          <w:t> 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 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További információk érdekében kérje „Tájékoztatónkat”.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Elérhetőség: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Nemzeti Közlekedési Hatóság (NKH)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Kiemelt Ügyek Igazgatósága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Vasúti Hatósági Főosztály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b/>
                            <w:bCs/>
                            <w:color w:val="858585"/>
                            <w:sz w:val="17"/>
                            <w:lang w:eastAsia="hu-HU"/>
                          </w:rPr>
                          <w:t>Vasútbiztonsági és Ellenőrzési Osztály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 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1066 Budapest, Teréz körút 62.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Wingdings" w:eastAsia="Times New Roman" w:hAnsi="Wingdings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>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: + 36 – 1 – 4741 – 786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Wingdings" w:eastAsia="Times New Roman" w:hAnsi="Wingdings" w:cs="Times New Roman"/>
                            <w:color w:val="858585"/>
                            <w:sz w:val="17"/>
                            <w:szCs w:val="17"/>
                            <w:lang w:eastAsia="hu-HU"/>
                          </w:rPr>
                          <w:t></w:t>
                        </w: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 xml:space="preserve"> </w:t>
                        </w:r>
                        <w:hyperlink r:id="rId15" w:history="1">
                          <w:r w:rsidRPr="00207051">
                            <w:rPr>
                              <w:rFonts w:ascii="Arial" w:eastAsia="Times New Roman" w:hAnsi="Arial" w:cs="Arial"/>
                              <w:b/>
                              <w:bCs/>
                              <w:color w:val="858585"/>
                              <w:sz w:val="17"/>
                              <w:lang w:eastAsia="hu-HU"/>
                            </w:rPr>
                            <w:t>vasutbiztonsagio.kui@nkh.gov.hu</w:t>
                          </w:r>
                        </w:hyperlink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 </w:t>
                        </w:r>
                        <w:r w:rsidRPr="00207051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Arial" w:eastAsia="Times New Roman" w:hAnsi="Arial" w:cs="Arial"/>
                            <w:color w:val="858585"/>
                            <w:sz w:val="17"/>
                            <w:szCs w:val="17"/>
                            <w:lang w:eastAsia="hu-HU"/>
                          </w:rPr>
                          <w:t> </w:t>
                        </w: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lastRenderedPageBreak/>
                          <w:t xml:space="preserve">  </w:t>
                        </w:r>
                      </w:p>
                      <w:p w:rsidR="00207051" w:rsidRPr="00207051" w:rsidRDefault="00207051" w:rsidP="002070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070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 </w:t>
                        </w:r>
                      </w:p>
                    </w:tc>
                  </w:tr>
                </w:tbl>
                <w:p w:rsidR="00207051" w:rsidRPr="00207051" w:rsidRDefault="00207051" w:rsidP="002070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207051" w:rsidRPr="00207051" w:rsidRDefault="00207051" w:rsidP="002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D534C7" w:rsidRDefault="00D534C7"/>
    <w:sectPr w:rsidR="00D534C7" w:rsidSect="00D5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D6F"/>
    <w:multiLevelType w:val="multilevel"/>
    <w:tmpl w:val="84B0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E6B8A"/>
    <w:multiLevelType w:val="multilevel"/>
    <w:tmpl w:val="ADBA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C793A"/>
    <w:multiLevelType w:val="multilevel"/>
    <w:tmpl w:val="D39E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3168A"/>
    <w:multiLevelType w:val="multilevel"/>
    <w:tmpl w:val="ACC8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75C5E"/>
    <w:multiLevelType w:val="multilevel"/>
    <w:tmpl w:val="95DE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65BBC"/>
    <w:multiLevelType w:val="multilevel"/>
    <w:tmpl w:val="13EC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4F28D8"/>
    <w:multiLevelType w:val="multilevel"/>
    <w:tmpl w:val="25D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A057EB"/>
    <w:multiLevelType w:val="multilevel"/>
    <w:tmpl w:val="1084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29710E"/>
    <w:multiLevelType w:val="multilevel"/>
    <w:tmpl w:val="10D8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1B71E6"/>
    <w:multiLevelType w:val="multilevel"/>
    <w:tmpl w:val="96A2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051"/>
    <w:rsid w:val="00207051"/>
    <w:rsid w:val="00D5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34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0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0705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07051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207051"/>
    <w:rPr>
      <w:i/>
      <w:iCs/>
    </w:rPr>
  </w:style>
  <w:style w:type="character" w:customStyle="1" w:styleId="articleseperator">
    <w:name w:val="article_seperator"/>
    <w:basedOn w:val="Bekezdsalapbettpusa"/>
    <w:rsid w:val="00207051"/>
  </w:style>
  <w:style w:type="paragraph" w:styleId="Buborkszveg">
    <w:name w:val="Balloon Text"/>
    <w:basedOn w:val="Norml"/>
    <w:link w:val="BuborkszvegChar"/>
    <w:uiPriority w:val="99"/>
    <w:semiHidden/>
    <w:unhideWhenUsed/>
    <w:rsid w:val="0020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7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h.hu/vasut/images/stories/kerelem/tajekoztato_vasutegeszsegugy_1_sz_melleklet_2010_04_22.doc" TargetMode="External"/><Relationship Id="rId13" Type="http://schemas.openxmlformats.org/officeDocument/2006/relationships/hyperlink" Target="http://www.nkh.hu/vasut/images/stories/vasutegeszsegugy/dijjegyzek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nkh.hu/vasut/images/stories/vasutegeszsegugy/pszichologusok_nevsora_fj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kh.hu/vasut/images/stories/kerelem/kerelem_lap_alt_2010_04_19.doc" TargetMode="External"/><Relationship Id="rId11" Type="http://schemas.openxmlformats.org/officeDocument/2006/relationships/image" Target="media/image2.gif"/><Relationship Id="rId5" Type="http://schemas.openxmlformats.org/officeDocument/2006/relationships/hyperlink" Target="mailto:vasuteu.kui@nkh.gov.hu" TargetMode="External"/><Relationship Id="rId15" Type="http://schemas.openxmlformats.org/officeDocument/2006/relationships/hyperlink" Target="mailto:vasutbiztonsagio.kui@nkh.gov.hu" TargetMode="External"/><Relationship Id="rId10" Type="http://schemas.openxmlformats.org/officeDocument/2006/relationships/hyperlink" Target="http://www.nkh.hu/vasut/images/stories/vasutegeszsegugy/akkreditacio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kh.hu/vasut/images/stories/kerelem/fellebbezes_eloterjesztese__200911.doc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1968</Words>
  <Characters>13584</Characters>
  <Application>Microsoft Office Word</Application>
  <DocSecurity>0</DocSecurity>
  <Lines>113</Lines>
  <Paragraphs>31</Paragraphs>
  <ScaleCrop>false</ScaleCrop>
  <Company/>
  <LinksUpToDate>false</LinksUpToDate>
  <CharactersWithSpaces>15521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Fefe</dc:creator>
  <cp:lastModifiedBy>Fefe</cp:lastModifiedBy>
  <cp:revision>1</cp:revision>
  <dcterms:created xsi:type="dcterms:W3CDTF">2010-05-18T20:30:00Z</dcterms:created>
  <dcterms:modified xsi:type="dcterms:W3CDTF">2010-05-18T20:33:00Z</dcterms:modified>
</cp:coreProperties>
</file>